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220B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TTS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62AC3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F5131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F04B0" w:rsidRPr="009F04B0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9F04B0" w:rsidRPr="009F04B0">
        <w:rPr>
          <w:rFonts w:ascii="Arial" w:hAnsi="Arial" w:cs="Arial"/>
          <w:sz w:val="20"/>
          <w:szCs w:val="20"/>
        </w:rPr>
        <w:t>Trung</w:t>
      </w:r>
      <w:proofErr w:type="spellEnd"/>
      <w:r w:rsidR="009F04B0" w:rsidRPr="009F04B0">
        <w:rPr>
          <w:rFonts w:ascii="Arial" w:hAnsi="Arial" w:cs="Arial"/>
          <w:sz w:val="20"/>
          <w:szCs w:val="20"/>
        </w:rPr>
        <w:t xml:space="preserve"> steel joint stock company</w:t>
      </w:r>
      <w:r w:rsidR="009F04B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662AC3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F04B0" w:rsidRDefault="009F04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operation results, operation of the Board of Directors in 2019 and Report No. 14/ BC – HDQT dated 19 Mar 2020 of the Board of Directors of the Company; Operation plan for 2020 in Statement No.16/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– HDQT dated 19 Mar 2020 of the Board of Directors of the Company as follows:</w:t>
      </w:r>
    </w:p>
    <w:p w:rsidR="009F04B0" w:rsidRDefault="009F04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plan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991"/>
        <w:gridCol w:w="1101"/>
        <w:gridCol w:w="1114"/>
        <w:gridCol w:w="1113"/>
        <w:gridCol w:w="1206"/>
        <w:gridCol w:w="1294"/>
        <w:gridCol w:w="1262"/>
      </w:tblGrid>
      <w:tr w:rsidR="006A02EA" w:rsidTr="005C75F2">
        <w:tc>
          <w:tcPr>
            <w:tcW w:w="495" w:type="dxa"/>
            <w:vMerge w:val="restart"/>
          </w:tcPr>
          <w:p w:rsidR="006A02EA" w:rsidRDefault="006A02E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1" w:type="dxa"/>
            <w:vMerge w:val="restart"/>
          </w:tcPr>
          <w:p w:rsidR="006A02EA" w:rsidRDefault="006A02E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101" w:type="dxa"/>
            <w:vMerge w:val="restart"/>
          </w:tcPr>
          <w:p w:rsidR="006A02EA" w:rsidRDefault="006A02E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114" w:type="dxa"/>
            <w:vMerge w:val="restart"/>
          </w:tcPr>
          <w:p w:rsidR="006A02EA" w:rsidRDefault="006A02E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2018</w:t>
            </w:r>
          </w:p>
        </w:tc>
        <w:tc>
          <w:tcPr>
            <w:tcW w:w="2319" w:type="dxa"/>
            <w:gridSpan w:val="2"/>
          </w:tcPr>
          <w:p w:rsidR="006A02EA" w:rsidRDefault="006A02EA" w:rsidP="006A02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2019</w:t>
            </w:r>
          </w:p>
        </w:tc>
        <w:tc>
          <w:tcPr>
            <w:tcW w:w="2556" w:type="dxa"/>
            <w:gridSpan w:val="2"/>
          </w:tcPr>
          <w:p w:rsidR="006A02EA" w:rsidRDefault="006A02EA" w:rsidP="006A02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(%)</w:t>
            </w:r>
          </w:p>
        </w:tc>
      </w:tr>
      <w:tr w:rsidR="006A02EA" w:rsidTr="005C75F2">
        <w:tc>
          <w:tcPr>
            <w:tcW w:w="495" w:type="dxa"/>
            <w:vMerge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206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294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2019/ realization 2018</w:t>
            </w:r>
          </w:p>
        </w:tc>
        <w:tc>
          <w:tcPr>
            <w:tcW w:w="1262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2019</w:t>
            </w:r>
          </w:p>
        </w:tc>
      </w:tr>
      <w:tr w:rsidR="006A02EA" w:rsidTr="005C75F2">
        <w:tc>
          <w:tcPr>
            <w:tcW w:w="495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 6/4</w:t>
            </w:r>
          </w:p>
        </w:tc>
        <w:tc>
          <w:tcPr>
            <w:tcW w:w="1262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8=6/5</w:t>
            </w:r>
          </w:p>
        </w:tc>
      </w:tr>
      <w:tr w:rsidR="006A02EA" w:rsidTr="005C75F2">
        <w:tc>
          <w:tcPr>
            <w:tcW w:w="495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production value</w:t>
            </w:r>
          </w:p>
        </w:tc>
        <w:tc>
          <w:tcPr>
            <w:tcW w:w="1101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642.697</w:t>
            </w:r>
          </w:p>
        </w:tc>
        <w:tc>
          <w:tcPr>
            <w:tcW w:w="1113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1,535.5</w:t>
            </w:r>
          </w:p>
        </w:tc>
        <w:tc>
          <w:tcPr>
            <w:tcW w:w="1206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1,299</w:t>
            </w:r>
          </w:p>
        </w:tc>
        <w:tc>
          <w:tcPr>
            <w:tcW w:w="129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202.12</w:t>
            </w:r>
          </w:p>
        </w:tc>
        <w:tc>
          <w:tcPr>
            <w:tcW w:w="1262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84.60</w:t>
            </w:r>
          </w:p>
        </w:tc>
      </w:tr>
      <w:tr w:rsidR="006A02EA" w:rsidTr="005C75F2">
        <w:tc>
          <w:tcPr>
            <w:tcW w:w="495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6A02EA" w:rsidRDefault="005C75F2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steel</w:t>
            </w:r>
          </w:p>
        </w:tc>
        <w:tc>
          <w:tcPr>
            <w:tcW w:w="1101" w:type="dxa"/>
          </w:tcPr>
          <w:p w:rsidR="006A02EA" w:rsidRDefault="005C75F2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111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352,361</w:t>
            </w:r>
          </w:p>
        </w:tc>
        <w:tc>
          <w:tcPr>
            <w:tcW w:w="1113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415,000</w:t>
            </w:r>
          </w:p>
        </w:tc>
        <w:tc>
          <w:tcPr>
            <w:tcW w:w="1206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341,777</w:t>
            </w:r>
          </w:p>
        </w:tc>
        <w:tc>
          <w:tcPr>
            <w:tcW w:w="129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</w:t>
            </w:r>
          </w:p>
        </w:tc>
        <w:tc>
          <w:tcPr>
            <w:tcW w:w="1262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82.36</w:t>
            </w:r>
          </w:p>
        </w:tc>
      </w:tr>
      <w:tr w:rsidR="006A02EA" w:rsidTr="005C75F2">
        <w:tc>
          <w:tcPr>
            <w:tcW w:w="495" w:type="dxa"/>
          </w:tcPr>
          <w:p w:rsidR="006A02EA" w:rsidRDefault="006A02EA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6A02EA" w:rsidRDefault="005C75F2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and other income</w:t>
            </w:r>
          </w:p>
        </w:tc>
        <w:tc>
          <w:tcPr>
            <w:tcW w:w="1101" w:type="dxa"/>
          </w:tcPr>
          <w:p w:rsidR="006A02EA" w:rsidRDefault="005C75F2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2,510.32</w:t>
            </w:r>
          </w:p>
        </w:tc>
        <w:tc>
          <w:tcPr>
            <w:tcW w:w="1113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5,248.00</w:t>
            </w:r>
          </w:p>
        </w:tc>
        <w:tc>
          <w:tcPr>
            <w:tcW w:w="1206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4,069.68</w:t>
            </w:r>
          </w:p>
        </w:tc>
        <w:tc>
          <w:tcPr>
            <w:tcW w:w="1294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162.12</w:t>
            </w:r>
          </w:p>
        </w:tc>
        <w:tc>
          <w:tcPr>
            <w:tcW w:w="1262" w:type="dxa"/>
          </w:tcPr>
          <w:p w:rsidR="006A02EA" w:rsidRDefault="00DF53F3" w:rsidP="006A02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77.55</w:t>
            </w:r>
          </w:p>
        </w:tc>
      </w:tr>
      <w:tr w:rsidR="005C75F2" w:rsidTr="005C75F2">
        <w:tc>
          <w:tcPr>
            <w:tcW w:w="495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91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Deducted revenue</w:t>
            </w:r>
          </w:p>
        </w:tc>
        <w:tc>
          <w:tcPr>
            <w:tcW w:w="1101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5C75F2" w:rsidRDefault="00DF53F3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5C75F2" w:rsidRDefault="005C75F2" w:rsidP="005C75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34" w:rsidTr="005C75F2">
        <w:tc>
          <w:tcPr>
            <w:tcW w:w="495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91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and other income after deduction</w:t>
            </w:r>
          </w:p>
        </w:tc>
        <w:tc>
          <w:tcPr>
            <w:tcW w:w="1101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2,510.32</w:t>
            </w:r>
          </w:p>
        </w:tc>
        <w:tc>
          <w:tcPr>
            <w:tcW w:w="1113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5,248.00</w:t>
            </w:r>
          </w:p>
        </w:tc>
        <w:tc>
          <w:tcPr>
            <w:tcW w:w="1206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4,069.68</w:t>
            </w:r>
          </w:p>
        </w:tc>
        <w:tc>
          <w:tcPr>
            <w:tcW w:w="1294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162.12</w:t>
            </w:r>
          </w:p>
        </w:tc>
        <w:tc>
          <w:tcPr>
            <w:tcW w:w="1262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77.55</w:t>
            </w:r>
          </w:p>
        </w:tc>
      </w:tr>
      <w:tr w:rsidR="00033C34" w:rsidTr="005C75F2">
        <w:tc>
          <w:tcPr>
            <w:tcW w:w="495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101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6.074</w:t>
            </w:r>
          </w:p>
        </w:tc>
        <w:tc>
          <w:tcPr>
            <w:tcW w:w="1113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06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14.752</w:t>
            </w:r>
          </w:p>
        </w:tc>
        <w:tc>
          <w:tcPr>
            <w:tcW w:w="1294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242.89</w:t>
            </w:r>
          </w:p>
        </w:tc>
        <w:tc>
          <w:tcPr>
            <w:tcW w:w="1262" w:type="dxa"/>
          </w:tcPr>
          <w:p w:rsidR="00033C34" w:rsidRDefault="00033C34" w:rsidP="00033C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98.35</w:t>
            </w:r>
          </w:p>
        </w:tc>
      </w:tr>
      <w:tr w:rsidR="00F72000" w:rsidTr="005C75F2">
        <w:tc>
          <w:tcPr>
            <w:tcW w:w="495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10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6.074</w:t>
            </w:r>
          </w:p>
        </w:tc>
        <w:tc>
          <w:tcPr>
            <w:tcW w:w="1113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06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14.752</w:t>
            </w:r>
          </w:p>
        </w:tc>
        <w:tc>
          <w:tcPr>
            <w:tcW w:w="129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242.89</w:t>
            </w:r>
          </w:p>
        </w:tc>
        <w:tc>
          <w:tcPr>
            <w:tcW w:w="1262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98.35</w:t>
            </w:r>
          </w:p>
        </w:tc>
      </w:tr>
      <w:tr w:rsidR="00F72000" w:rsidTr="005C75F2">
        <w:tc>
          <w:tcPr>
            <w:tcW w:w="495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10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15.250</w:t>
            </w:r>
          </w:p>
        </w:tc>
        <w:tc>
          <w:tcPr>
            <w:tcW w:w="1113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06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15.738</w:t>
            </w:r>
          </w:p>
        </w:tc>
        <w:tc>
          <w:tcPr>
            <w:tcW w:w="129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103.20</w:t>
            </w:r>
          </w:p>
        </w:tc>
        <w:tc>
          <w:tcPr>
            <w:tcW w:w="1262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95.38</w:t>
            </w:r>
          </w:p>
        </w:tc>
      </w:tr>
      <w:tr w:rsidR="00F72000" w:rsidTr="005C75F2">
        <w:tc>
          <w:tcPr>
            <w:tcW w:w="495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</w:t>
            </w:r>
          </w:p>
        </w:tc>
        <w:tc>
          <w:tcPr>
            <w:tcW w:w="110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11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13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206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94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96.64</w:t>
            </w:r>
          </w:p>
        </w:tc>
        <w:tc>
          <w:tcPr>
            <w:tcW w:w="1262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99.31</w:t>
            </w:r>
          </w:p>
        </w:tc>
      </w:tr>
      <w:tr w:rsidR="00F72000" w:rsidTr="005C75F2">
        <w:tc>
          <w:tcPr>
            <w:tcW w:w="495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(person/ month)</w:t>
            </w:r>
          </w:p>
        </w:tc>
        <w:tc>
          <w:tcPr>
            <w:tcW w:w="110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114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1113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1206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294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62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98.82</w:t>
            </w:r>
          </w:p>
        </w:tc>
      </w:tr>
      <w:tr w:rsidR="00F72000" w:rsidTr="005C75F2">
        <w:tc>
          <w:tcPr>
            <w:tcW w:w="495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101" w:type="dxa"/>
          </w:tcPr>
          <w:p w:rsidR="00F72000" w:rsidRDefault="00F72000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4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F72000" w:rsidRDefault="0065530D" w:rsidP="00F72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F04B0" w:rsidRDefault="009F04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Operation plan for 2020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Industrial production value: VND 1,444 billion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Main output: 380,000 tons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which: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TISCO steel: 350,000 tons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Other steel: 30,000 tons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revenue: VND 4,218 billion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VND 16.556 billion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tax: VND 16.556 billion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Contributing to the State's budget: VND 17 billion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labor: 290 persons</w:t>
      </w:r>
    </w:p>
    <w:p w:rsidR="0065530D" w:rsidRDefault="0065530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salary: VND 8.70 million/ person/ month</w:t>
      </w:r>
    </w:p>
    <w:p w:rsidR="00A8299B" w:rsidRDefault="00A829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99B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A8299B">
        <w:rPr>
          <w:rFonts w:ascii="Arial" w:hAnsi="Arial" w:cs="Arial"/>
          <w:sz w:val="20"/>
          <w:szCs w:val="20"/>
        </w:rPr>
        <w:t xml:space="preserve"> Appro</w:t>
      </w:r>
      <w:r>
        <w:rPr>
          <w:rFonts w:ascii="Arial" w:hAnsi="Arial" w:cs="Arial"/>
          <w:sz w:val="20"/>
          <w:szCs w:val="20"/>
        </w:rPr>
        <w:t>ve the content of Report No. 02</w:t>
      </w:r>
      <w:r w:rsidRPr="00A8299B">
        <w:rPr>
          <w:rFonts w:ascii="Arial" w:hAnsi="Arial" w:cs="Arial"/>
          <w:sz w:val="20"/>
          <w:szCs w:val="20"/>
        </w:rPr>
        <w:t xml:space="preserve">/ BC - BKS dated </w:t>
      </w:r>
      <w:r>
        <w:rPr>
          <w:rFonts w:ascii="Arial" w:hAnsi="Arial" w:cs="Arial"/>
          <w:sz w:val="20"/>
          <w:szCs w:val="20"/>
        </w:rPr>
        <w:t>23 Mar 2020</w:t>
      </w:r>
      <w:r w:rsidRPr="00A8299B">
        <w:rPr>
          <w:rFonts w:ascii="Arial" w:hAnsi="Arial" w:cs="Arial"/>
          <w:sz w:val="20"/>
          <w:szCs w:val="20"/>
        </w:rPr>
        <w:t xml:space="preserve"> of Supervisory Board of Thai </w:t>
      </w:r>
      <w:proofErr w:type="spellStart"/>
      <w:r w:rsidRPr="00A8299B">
        <w:rPr>
          <w:rFonts w:ascii="Arial" w:hAnsi="Arial" w:cs="Arial"/>
          <w:sz w:val="20"/>
          <w:szCs w:val="20"/>
        </w:rPr>
        <w:t>Trung</w:t>
      </w:r>
      <w:proofErr w:type="spellEnd"/>
      <w:r w:rsidRPr="00A8299B">
        <w:rPr>
          <w:rFonts w:ascii="Arial" w:hAnsi="Arial" w:cs="Arial"/>
          <w:sz w:val="20"/>
          <w:szCs w:val="20"/>
        </w:rPr>
        <w:t xml:space="preserve"> steel joint stock company</w:t>
      </w:r>
      <w:r>
        <w:rPr>
          <w:rFonts w:ascii="Arial" w:hAnsi="Arial" w:cs="Arial"/>
          <w:sz w:val="20"/>
          <w:szCs w:val="20"/>
        </w:rPr>
        <w:t xml:space="preserve"> on </w:t>
      </w:r>
      <w:r w:rsidRPr="00A8299B">
        <w:rPr>
          <w:rFonts w:ascii="Arial" w:hAnsi="Arial" w:cs="Arial"/>
          <w:sz w:val="20"/>
          <w:szCs w:val="20"/>
        </w:rPr>
        <w:t>2019 operating results and 2020 operation plan</w:t>
      </w:r>
    </w:p>
    <w:p w:rsidR="006D1133" w:rsidRDefault="00A829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A8299B">
        <w:rPr>
          <w:rFonts w:ascii="Arial" w:hAnsi="Arial" w:cs="Arial"/>
          <w:sz w:val="20"/>
          <w:szCs w:val="20"/>
        </w:rPr>
        <w:t xml:space="preserve">Approve the content of </w:t>
      </w:r>
      <w:r w:rsidR="006D1133">
        <w:rPr>
          <w:rFonts w:ascii="Arial" w:hAnsi="Arial" w:cs="Arial"/>
          <w:sz w:val="20"/>
          <w:szCs w:val="20"/>
        </w:rPr>
        <w:t>Statement No. 15</w:t>
      </w:r>
      <w:r w:rsidRPr="00A8299B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8299B">
        <w:rPr>
          <w:rFonts w:ascii="Arial" w:hAnsi="Arial" w:cs="Arial"/>
          <w:sz w:val="20"/>
          <w:szCs w:val="20"/>
        </w:rPr>
        <w:t>TTr</w:t>
      </w:r>
      <w:proofErr w:type="spellEnd"/>
      <w:r w:rsidRPr="00A8299B">
        <w:rPr>
          <w:rFonts w:ascii="Arial" w:hAnsi="Arial" w:cs="Arial"/>
          <w:sz w:val="20"/>
          <w:szCs w:val="20"/>
        </w:rPr>
        <w:t xml:space="preserve"> </w:t>
      </w:r>
      <w:r w:rsidR="006D1133">
        <w:rPr>
          <w:rFonts w:ascii="Arial" w:hAnsi="Arial" w:cs="Arial"/>
          <w:sz w:val="20"/>
          <w:szCs w:val="20"/>
        </w:rPr>
        <w:t>- HD</w:t>
      </w:r>
      <w:r w:rsidRPr="00A8299B">
        <w:rPr>
          <w:rFonts w:ascii="Arial" w:hAnsi="Arial" w:cs="Arial"/>
          <w:sz w:val="20"/>
          <w:szCs w:val="20"/>
        </w:rPr>
        <w:t>QT dated March 19, 2020 of the Board of Directors of the Company on the adoption</w:t>
      </w:r>
      <w:r w:rsidR="006D1133">
        <w:rPr>
          <w:rFonts w:ascii="Arial" w:hAnsi="Arial" w:cs="Arial"/>
          <w:sz w:val="20"/>
          <w:szCs w:val="20"/>
        </w:rPr>
        <w:t xml:space="preserve"> of audited financial statement</w:t>
      </w:r>
      <w:r w:rsidRPr="00A8299B">
        <w:rPr>
          <w:rFonts w:ascii="Arial" w:hAnsi="Arial" w:cs="Arial"/>
          <w:sz w:val="20"/>
          <w:szCs w:val="20"/>
        </w:rPr>
        <w:t xml:space="preserve"> for the accounting period from January 1, 2019 to  Dec</w:t>
      </w:r>
      <w:r w:rsidR="006D1133">
        <w:rPr>
          <w:rFonts w:ascii="Arial" w:hAnsi="Arial" w:cs="Arial"/>
          <w:sz w:val="20"/>
          <w:szCs w:val="20"/>
        </w:rPr>
        <w:t xml:space="preserve">ember 31, 2019 of the Company; </w:t>
      </w:r>
      <w:r w:rsidRPr="00A8299B">
        <w:rPr>
          <w:rFonts w:ascii="Arial" w:hAnsi="Arial" w:cs="Arial"/>
          <w:sz w:val="20"/>
          <w:szCs w:val="20"/>
        </w:rPr>
        <w:t xml:space="preserve">Profit distribution, </w:t>
      </w:r>
      <w:r w:rsidR="006D1133">
        <w:rPr>
          <w:rFonts w:ascii="Arial" w:hAnsi="Arial" w:cs="Arial"/>
          <w:sz w:val="20"/>
          <w:szCs w:val="20"/>
        </w:rPr>
        <w:t>dividend payment for 2019;  p</w:t>
      </w:r>
      <w:r w:rsidRPr="00A8299B">
        <w:rPr>
          <w:rFonts w:ascii="Arial" w:hAnsi="Arial" w:cs="Arial"/>
          <w:sz w:val="20"/>
          <w:szCs w:val="20"/>
        </w:rPr>
        <w:t>rofit distribution plan, dividend</w:t>
      </w:r>
      <w:r w:rsidR="006D1133">
        <w:rPr>
          <w:rFonts w:ascii="Arial" w:hAnsi="Arial" w:cs="Arial"/>
          <w:sz w:val="20"/>
          <w:szCs w:val="20"/>
        </w:rPr>
        <w:t xml:space="preserve"> payment for 2020</w:t>
      </w:r>
    </w:p>
    <w:p w:rsidR="00937310" w:rsidRDefault="006D11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A8299B" w:rsidRPr="00A8299B">
        <w:rPr>
          <w:rFonts w:ascii="Arial" w:hAnsi="Arial" w:cs="Arial"/>
          <w:sz w:val="20"/>
          <w:szCs w:val="20"/>
        </w:rPr>
        <w:t xml:space="preserve"> Approving the salary and remuneration fund </w:t>
      </w:r>
      <w:r w:rsidR="00937310">
        <w:rPr>
          <w:rFonts w:ascii="Arial" w:hAnsi="Arial" w:cs="Arial"/>
          <w:sz w:val="20"/>
          <w:szCs w:val="20"/>
        </w:rPr>
        <w:t>for</w:t>
      </w:r>
      <w:r w:rsidR="00A8299B" w:rsidRPr="00A8299B">
        <w:rPr>
          <w:rFonts w:ascii="Arial" w:hAnsi="Arial" w:cs="Arial"/>
          <w:sz w:val="20"/>
          <w:szCs w:val="20"/>
        </w:rPr>
        <w:t xml:space="preserve"> the Board of Directors, the </w:t>
      </w:r>
      <w:r w:rsidR="00937310">
        <w:rPr>
          <w:rFonts w:ascii="Arial" w:hAnsi="Arial" w:cs="Arial"/>
          <w:sz w:val="20"/>
          <w:szCs w:val="20"/>
        </w:rPr>
        <w:t>Supervisory Board</w:t>
      </w:r>
      <w:r w:rsidR="00A8299B" w:rsidRPr="00A8299B">
        <w:rPr>
          <w:rFonts w:ascii="Arial" w:hAnsi="Arial" w:cs="Arial"/>
          <w:sz w:val="20"/>
          <w:szCs w:val="20"/>
        </w:rPr>
        <w:t xml:space="preserve">, the </w:t>
      </w:r>
      <w:r w:rsidR="00937310">
        <w:rPr>
          <w:rFonts w:ascii="Arial" w:hAnsi="Arial" w:cs="Arial"/>
          <w:sz w:val="20"/>
          <w:szCs w:val="20"/>
        </w:rPr>
        <w:t>Management Board</w:t>
      </w:r>
      <w:r w:rsidR="00A8299B" w:rsidRPr="00A8299B">
        <w:rPr>
          <w:rFonts w:ascii="Arial" w:hAnsi="Arial" w:cs="Arial"/>
          <w:sz w:val="20"/>
          <w:szCs w:val="20"/>
        </w:rPr>
        <w:t xml:space="preserve"> and the Chief Accountant of the Company in 2019 in </w:t>
      </w:r>
      <w:r w:rsidR="00937310">
        <w:rPr>
          <w:rFonts w:ascii="Arial" w:hAnsi="Arial" w:cs="Arial"/>
          <w:sz w:val="20"/>
          <w:szCs w:val="20"/>
        </w:rPr>
        <w:t xml:space="preserve">Statement No.18/ </w:t>
      </w:r>
      <w:proofErr w:type="spellStart"/>
      <w:r w:rsidR="00937310">
        <w:rPr>
          <w:rFonts w:ascii="Arial" w:hAnsi="Arial" w:cs="Arial"/>
          <w:sz w:val="20"/>
          <w:szCs w:val="20"/>
        </w:rPr>
        <w:t>TTr</w:t>
      </w:r>
      <w:proofErr w:type="spellEnd"/>
      <w:r w:rsidR="00937310">
        <w:rPr>
          <w:rFonts w:ascii="Arial" w:hAnsi="Arial" w:cs="Arial"/>
          <w:sz w:val="20"/>
          <w:szCs w:val="20"/>
        </w:rPr>
        <w:t xml:space="preserve"> – HD</w:t>
      </w:r>
      <w:r w:rsidR="00A8299B" w:rsidRPr="00A8299B">
        <w:rPr>
          <w:rFonts w:ascii="Arial" w:hAnsi="Arial" w:cs="Arial"/>
          <w:sz w:val="20"/>
          <w:szCs w:val="20"/>
        </w:rPr>
        <w:t>QT</w:t>
      </w:r>
      <w:r w:rsidR="00937310">
        <w:rPr>
          <w:rFonts w:ascii="Arial" w:hAnsi="Arial" w:cs="Arial"/>
          <w:sz w:val="20"/>
          <w:szCs w:val="20"/>
        </w:rPr>
        <w:t xml:space="preserve"> dated</w:t>
      </w:r>
      <w:r w:rsidR="00A8299B" w:rsidRPr="00A8299B">
        <w:rPr>
          <w:rFonts w:ascii="Arial" w:hAnsi="Arial" w:cs="Arial"/>
          <w:sz w:val="20"/>
          <w:szCs w:val="20"/>
        </w:rPr>
        <w:t xml:space="preserve"> March 19,</w:t>
      </w:r>
      <w:r w:rsidR="00937310">
        <w:rPr>
          <w:rFonts w:ascii="Arial" w:hAnsi="Arial" w:cs="Arial"/>
          <w:sz w:val="20"/>
          <w:szCs w:val="20"/>
        </w:rPr>
        <w:t xml:space="preserve"> 2020</w:t>
      </w:r>
      <w:r w:rsidR="00A8299B" w:rsidRPr="00A8299B">
        <w:rPr>
          <w:rFonts w:ascii="Arial" w:hAnsi="Arial" w:cs="Arial"/>
          <w:sz w:val="20"/>
          <w:szCs w:val="20"/>
        </w:rPr>
        <w:t xml:space="preserve"> of the Board of Directors of the Company;</w:t>
      </w:r>
      <w:r w:rsidR="00937310">
        <w:rPr>
          <w:rFonts w:ascii="Arial" w:hAnsi="Arial" w:cs="Arial"/>
          <w:sz w:val="20"/>
          <w:szCs w:val="20"/>
        </w:rPr>
        <w:t xml:space="preserve"> s</w:t>
      </w:r>
      <w:r w:rsidR="00A8299B" w:rsidRPr="00A8299B">
        <w:rPr>
          <w:rFonts w:ascii="Arial" w:hAnsi="Arial" w:cs="Arial"/>
          <w:sz w:val="20"/>
          <w:szCs w:val="20"/>
        </w:rPr>
        <w:t xml:space="preserve">alary and remuneration level of the Board of Directors, </w:t>
      </w:r>
      <w:r w:rsidR="00937310">
        <w:rPr>
          <w:rFonts w:ascii="Arial" w:hAnsi="Arial" w:cs="Arial"/>
          <w:sz w:val="20"/>
          <w:szCs w:val="20"/>
        </w:rPr>
        <w:t>Supervisory Board</w:t>
      </w:r>
      <w:r w:rsidR="00A8299B" w:rsidRPr="00A8299B">
        <w:rPr>
          <w:rFonts w:ascii="Arial" w:hAnsi="Arial" w:cs="Arial"/>
          <w:sz w:val="20"/>
          <w:szCs w:val="20"/>
        </w:rPr>
        <w:t xml:space="preserve">, </w:t>
      </w:r>
      <w:r w:rsidR="00937310">
        <w:rPr>
          <w:rFonts w:ascii="Arial" w:hAnsi="Arial" w:cs="Arial"/>
          <w:sz w:val="20"/>
          <w:szCs w:val="20"/>
        </w:rPr>
        <w:t>Management Board</w:t>
      </w:r>
      <w:r w:rsidR="00A8299B" w:rsidRPr="00A8299B">
        <w:rPr>
          <w:rFonts w:ascii="Arial" w:hAnsi="Arial" w:cs="Arial"/>
          <w:sz w:val="20"/>
          <w:szCs w:val="20"/>
        </w:rPr>
        <w:t xml:space="preserve"> and Chief Accountant of </w:t>
      </w:r>
      <w:r w:rsidR="00937310" w:rsidRPr="00937310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937310" w:rsidRPr="00937310">
        <w:rPr>
          <w:rFonts w:ascii="Arial" w:hAnsi="Arial" w:cs="Arial"/>
          <w:sz w:val="20"/>
          <w:szCs w:val="20"/>
        </w:rPr>
        <w:t>Trung</w:t>
      </w:r>
      <w:proofErr w:type="spellEnd"/>
      <w:r w:rsidR="00937310" w:rsidRPr="00937310">
        <w:rPr>
          <w:rFonts w:ascii="Arial" w:hAnsi="Arial" w:cs="Arial"/>
          <w:sz w:val="20"/>
          <w:szCs w:val="20"/>
        </w:rPr>
        <w:t xml:space="preserve"> steel joint stock company</w:t>
      </w:r>
      <w:r w:rsidR="00937310">
        <w:rPr>
          <w:rFonts w:ascii="Arial" w:hAnsi="Arial" w:cs="Arial"/>
          <w:sz w:val="20"/>
          <w:szCs w:val="20"/>
        </w:rPr>
        <w:t xml:space="preserve"> in 2020 (with the attached appendix)</w:t>
      </w:r>
    </w:p>
    <w:p w:rsidR="00975F74" w:rsidRDefault="009373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="00A8299B" w:rsidRPr="00A8299B">
        <w:rPr>
          <w:rFonts w:ascii="Arial" w:hAnsi="Arial" w:cs="Arial"/>
          <w:sz w:val="20"/>
          <w:szCs w:val="20"/>
        </w:rPr>
        <w:t xml:space="preserve"> Approving the content of </w:t>
      </w:r>
      <w:r>
        <w:rPr>
          <w:rFonts w:ascii="Arial" w:hAnsi="Arial" w:cs="Arial"/>
          <w:sz w:val="20"/>
          <w:szCs w:val="20"/>
        </w:rPr>
        <w:t xml:space="preserve">Statement No. 17/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- HD</w:t>
      </w:r>
      <w:r w:rsidR="00A8299B" w:rsidRPr="00A8299B">
        <w:rPr>
          <w:rFonts w:ascii="Arial" w:hAnsi="Arial" w:cs="Arial"/>
          <w:sz w:val="20"/>
          <w:szCs w:val="20"/>
        </w:rPr>
        <w:t>QT dated March 19, 2020 of the Board of Directors of the Company on contracts, transactions of buying and selling construction steel under the bra</w:t>
      </w:r>
      <w:r w:rsidR="00CF2CBD">
        <w:rPr>
          <w:rFonts w:ascii="Arial" w:hAnsi="Arial" w:cs="Arial"/>
          <w:sz w:val="20"/>
          <w:szCs w:val="20"/>
        </w:rPr>
        <w:t xml:space="preserve">nd TISCO, billet or </w:t>
      </w:r>
      <w:r w:rsidR="00CF2CBD" w:rsidRPr="00A8299B">
        <w:rPr>
          <w:rFonts w:ascii="Arial" w:hAnsi="Arial" w:cs="Arial"/>
          <w:sz w:val="20"/>
          <w:szCs w:val="20"/>
        </w:rPr>
        <w:t xml:space="preserve">rolled steel </w:t>
      </w:r>
      <w:r w:rsidR="00CF2CBD">
        <w:rPr>
          <w:rFonts w:ascii="Arial" w:hAnsi="Arial" w:cs="Arial"/>
          <w:sz w:val="20"/>
          <w:szCs w:val="20"/>
        </w:rPr>
        <w:t xml:space="preserve">processing </w:t>
      </w:r>
      <w:r w:rsidR="00A8299B" w:rsidRPr="00A8299B">
        <w:rPr>
          <w:rFonts w:ascii="Arial" w:hAnsi="Arial" w:cs="Arial"/>
          <w:sz w:val="20"/>
          <w:szCs w:val="20"/>
        </w:rPr>
        <w:t>with Thai Nguyen Iron and Steel Joint Stock C</w:t>
      </w:r>
      <w:r w:rsidR="00CF2CBD">
        <w:rPr>
          <w:rFonts w:ascii="Arial" w:hAnsi="Arial" w:cs="Arial"/>
          <w:sz w:val="20"/>
          <w:szCs w:val="20"/>
        </w:rPr>
        <w:t>orporation</w:t>
      </w:r>
      <w:r w:rsidR="00A8299B" w:rsidRPr="00A8299B">
        <w:rPr>
          <w:rFonts w:ascii="Arial" w:hAnsi="Arial" w:cs="Arial"/>
          <w:sz w:val="20"/>
          <w:szCs w:val="20"/>
        </w:rPr>
        <w:t xml:space="preserve"> in 2020. Effective date of </w:t>
      </w:r>
      <w:r w:rsidR="00975F74">
        <w:rPr>
          <w:rFonts w:ascii="Arial" w:hAnsi="Arial" w:cs="Arial"/>
          <w:sz w:val="20"/>
          <w:szCs w:val="20"/>
        </w:rPr>
        <w:t xml:space="preserve">the </w:t>
      </w:r>
      <w:r w:rsidR="00A8299B" w:rsidRPr="00A8299B">
        <w:rPr>
          <w:rFonts w:ascii="Arial" w:hAnsi="Arial" w:cs="Arial"/>
          <w:sz w:val="20"/>
          <w:szCs w:val="20"/>
        </w:rPr>
        <w:t>contracts and transactions is from Janua</w:t>
      </w:r>
      <w:r w:rsidR="00975F74">
        <w:rPr>
          <w:rFonts w:ascii="Arial" w:hAnsi="Arial" w:cs="Arial"/>
          <w:sz w:val="20"/>
          <w:szCs w:val="20"/>
        </w:rPr>
        <w:t>ry 1, 2020 to December 31, 2020</w:t>
      </w:r>
    </w:p>
    <w:p w:rsidR="0065530D" w:rsidRDefault="00975F7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6:</w:t>
      </w:r>
      <w:r w:rsidR="00A8299B" w:rsidRPr="00A8299B">
        <w:rPr>
          <w:rFonts w:ascii="Arial" w:hAnsi="Arial" w:cs="Arial"/>
          <w:sz w:val="20"/>
          <w:szCs w:val="20"/>
        </w:rPr>
        <w:t xml:space="preserve"> Agree to authorize the Board of Directors to select an independent auditing company to audit the</w:t>
      </w:r>
      <w:r>
        <w:rPr>
          <w:rFonts w:ascii="Arial" w:hAnsi="Arial" w:cs="Arial"/>
          <w:sz w:val="20"/>
          <w:szCs w:val="20"/>
        </w:rPr>
        <w:t xml:space="preserve"> financial statement</w:t>
      </w:r>
      <w:r w:rsidR="00A8299B" w:rsidRPr="00A8299B">
        <w:rPr>
          <w:rFonts w:ascii="Arial" w:hAnsi="Arial" w:cs="Arial"/>
          <w:sz w:val="20"/>
          <w:szCs w:val="20"/>
        </w:rPr>
        <w:t xml:space="preserve"> of 2020 at the request of the Supervisory Board in </w:t>
      </w:r>
      <w:r>
        <w:rPr>
          <w:rFonts w:ascii="Arial" w:hAnsi="Arial" w:cs="Arial"/>
          <w:sz w:val="20"/>
          <w:szCs w:val="20"/>
        </w:rPr>
        <w:t>Statement No. 03</w:t>
      </w:r>
      <w:r w:rsidR="00A8299B" w:rsidRPr="00A8299B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A8299B" w:rsidRPr="00A8299B">
        <w:rPr>
          <w:rFonts w:ascii="Arial" w:hAnsi="Arial" w:cs="Arial"/>
          <w:sz w:val="20"/>
          <w:szCs w:val="20"/>
        </w:rPr>
        <w:t>TTr</w:t>
      </w:r>
      <w:proofErr w:type="spellEnd"/>
      <w:r w:rsidR="00A8299B" w:rsidRPr="00A8299B">
        <w:rPr>
          <w:rFonts w:ascii="Arial" w:hAnsi="Arial" w:cs="Arial"/>
          <w:sz w:val="20"/>
          <w:szCs w:val="20"/>
        </w:rPr>
        <w:t xml:space="preserve"> - BKS dated </w:t>
      </w:r>
      <w:r>
        <w:rPr>
          <w:rFonts w:ascii="Arial" w:hAnsi="Arial" w:cs="Arial"/>
          <w:sz w:val="20"/>
          <w:szCs w:val="20"/>
        </w:rPr>
        <w:t xml:space="preserve">23 Mar 2020. </w:t>
      </w:r>
      <w:r w:rsidR="00A8299B" w:rsidRPr="00A8299B">
        <w:rPr>
          <w:rFonts w:ascii="Arial" w:hAnsi="Arial" w:cs="Arial"/>
          <w:sz w:val="20"/>
          <w:szCs w:val="20"/>
        </w:rPr>
        <w:t>The selected auditing firm must meet the following requirements:</w:t>
      </w:r>
    </w:p>
    <w:p w:rsidR="0015075B" w:rsidRDefault="00367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068">
        <w:rPr>
          <w:rFonts w:ascii="Arial" w:hAnsi="Arial" w:cs="Arial"/>
          <w:sz w:val="20"/>
          <w:szCs w:val="20"/>
        </w:rPr>
        <w:t>1. Being an auditing firm legally operating in Vietnam in the list of auditing firms eligible to provide auditing services in 2020 and being approved by the State Se</w:t>
      </w:r>
      <w:r w:rsidR="0015075B">
        <w:rPr>
          <w:rFonts w:ascii="Arial" w:hAnsi="Arial" w:cs="Arial"/>
          <w:sz w:val="20"/>
          <w:szCs w:val="20"/>
        </w:rPr>
        <w:t>curities Commission to audit the listed companies</w:t>
      </w:r>
    </w:p>
    <w:p w:rsidR="00E81EC6" w:rsidRDefault="00367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068">
        <w:rPr>
          <w:rFonts w:ascii="Arial" w:hAnsi="Arial" w:cs="Arial"/>
          <w:sz w:val="20"/>
          <w:szCs w:val="20"/>
        </w:rPr>
        <w:t>2. Reputable in terms of qu</w:t>
      </w:r>
      <w:r w:rsidR="0015075B">
        <w:rPr>
          <w:rFonts w:ascii="Arial" w:hAnsi="Arial" w:cs="Arial"/>
          <w:sz w:val="20"/>
          <w:szCs w:val="20"/>
        </w:rPr>
        <w:t>ality of auditing;</w:t>
      </w:r>
      <w:r w:rsidRPr="00367068">
        <w:rPr>
          <w:rFonts w:ascii="Arial" w:hAnsi="Arial" w:cs="Arial"/>
          <w:sz w:val="20"/>
          <w:szCs w:val="20"/>
        </w:rPr>
        <w:t xml:space="preserve"> having audit fee suitable to the quality and </w:t>
      </w:r>
      <w:r w:rsidR="0015075B">
        <w:rPr>
          <w:rFonts w:ascii="Arial" w:hAnsi="Arial" w:cs="Arial"/>
          <w:sz w:val="20"/>
          <w:szCs w:val="20"/>
        </w:rPr>
        <w:t>audit scope; m</w:t>
      </w:r>
      <w:r w:rsidRPr="00367068">
        <w:rPr>
          <w:rFonts w:ascii="Arial" w:hAnsi="Arial" w:cs="Arial"/>
          <w:sz w:val="20"/>
          <w:szCs w:val="20"/>
        </w:rPr>
        <w:t xml:space="preserve">eet the requirements of the Company and </w:t>
      </w:r>
      <w:r w:rsidR="00E81EC6">
        <w:rPr>
          <w:rFonts w:ascii="Arial" w:hAnsi="Arial" w:cs="Arial"/>
          <w:sz w:val="20"/>
          <w:szCs w:val="20"/>
        </w:rPr>
        <w:t>take audit on time</w:t>
      </w:r>
    </w:p>
    <w:p w:rsidR="00E81EC6" w:rsidRDefault="00367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068">
        <w:rPr>
          <w:rFonts w:ascii="Arial" w:hAnsi="Arial" w:cs="Arial"/>
          <w:sz w:val="20"/>
          <w:szCs w:val="20"/>
        </w:rPr>
        <w:t xml:space="preserve">Article 7: Organization of implementation: </w:t>
      </w:r>
    </w:p>
    <w:p w:rsidR="00E81EC6" w:rsidRDefault="00E81E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</w:t>
      </w:r>
      <w:r w:rsidR="00367068" w:rsidRPr="00367068">
        <w:rPr>
          <w:rFonts w:ascii="Arial" w:hAnsi="Arial" w:cs="Arial"/>
          <w:sz w:val="20"/>
          <w:szCs w:val="20"/>
        </w:rPr>
        <w:t xml:space="preserve">ssign the Board of Directors and General Director of the Company to direct and organize the implementation of the </w:t>
      </w:r>
      <w:r>
        <w:rPr>
          <w:rFonts w:ascii="Arial" w:hAnsi="Arial" w:cs="Arial"/>
          <w:sz w:val="20"/>
          <w:szCs w:val="20"/>
        </w:rPr>
        <w:t>annual General Mandate</w:t>
      </w:r>
      <w:r w:rsidR="00367068" w:rsidRPr="00367068">
        <w:rPr>
          <w:rFonts w:ascii="Arial" w:hAnsi="Arial" w:cs="Arial"/>
          <w:sz w:val="20"/>
          <w:szCs w:val="20"/>
        </w:rPr>
        <w:t xml:space="preserve"> in 2020 in accorda</w:t>
      </w:r>
      <w:r>
        <w:rPr>
          <w:rFonts w:ascii="Arial" w:hAnsi="Arial" w:cs="Arial"/>
          <w:sz w:val="20"/>
          <w:szCs w:val="20"/>
        </w:rPr>
        <w:t>nce with the provisions of law</w:t>
      </w:r>
      <w:r w:rsidR="00367068" w:rsidRPr="0036706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Charter of the </w:t>
      </w:r>
      <w:r w:rsidR="00367068" w:rsidRPr="00367068">
        <w:rPr>
          <w:rFonts w:ascii="Arial" w:hAnsi="Arial" w:cs="Arial"/>
          <w:sz w:val="20"/>
          <w:szCs w:val="20"/>
        </w:rPr>
        <w:t xml:space="preserve">Company  </w:t>
      </w:r>
    </w:p>
    <w:p w:rsidR="00A66F74" w:rsidRDefault="00367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068">
        <w:rPr>
          <w:rFonts w:ascii="Arial" w:hAnsi="Arial" w:cs="Arial"/>
          <w:sz w:val="20"/>
          <w:szCs w:val="20"/>
        </w:rPr>
        <w:t xml:space="preserve">2. Assign the Supervisory Board to supervise and inspect the activities of the Board of Directors, General Director of the Company in implementing the </w:t>
      </w:r>
      <w:r w:rsidR="00A66F74">
        <w:rPr>
          <w:rFonts w:ascii="Arial" w:hAnsi="Arial" w:cs="Arial"/>
          <w:sz w:val="20"/>
          <w:szCs w:val="20"/>
        </w:rPr>
        <w:t>annual General Mandate in 2020, ensuring</w:t>
      </w:r>
      <w:r w:rsidRPr="00367068">
        <w:rPr>
          <w:rFonts w:ascii="Arial" w:hAnsi="Arial" w:cs="Arial"/>
          <w:sz w:val="20"/>
          <w:szCs w:val="20"/>
        </w:rPr>
        <w:t xml:space="preserve"> co</w:t>
      </w:r>
      <w:r w:rsidR="00A66F74">
        <w:rPr>
          <w:rFonts w:ascii="Arial" w:hAnsi="Arial" w:cs="Arial"/>
          <w:sz w:val="20"/>
          <w:szCs w:val="20"/>
        </w:rPr>
        <w:t>mpliance with the provisions of</w:t>
      </w:r>
      <w:r w:rsidRPr="00367068">
        <w:rPr>
          <w:rFonts w:ascii="Arial" w:hAnsi="Arial" w:cs="Arial"/>
          <w:sz w:val="20"/>
          <w:szCs w:val="20"/>
        </w:rPr>
        <w:t xml:space="preserve"> laws</w:t>
      </w:r>
      <w:r w:rsidR="00A66F74">
        <w:rPr>
          <w:rFonts w:ascii="Arial" w:hAnsi="Arial" w:cs="Arial"/>
          <w:sz w:val="20"/>
          <w:szCs w:val="20"/>
        </w:rPr>
        <w:t xml:space="preserve"> and regulations of the Company</w:t>
      </w:r>
    </w:p>
    <w:p w:rsidR="00975F74" w:rsidRDefault="00367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7068">
        <w:rPr>
          <w:rFonts w:ascii="Arial" w:hAnsi="Arial" w:cs="Arial"/>
          <w:sz w:val="20"/>
          <w:szCs w:val="20"/>
        </w:rPr>
        <w:t xml:space="preserve">Article 8. This </w:t>
      </w:r>
      <w:r w:rsidR="00A66F74">
        <w:rPr>
          <w:rFonts w:ascii="Arial" w:hAnsi="Arial" w:cs="Arial"/>
          <w:sz w:val="20"/>
          <w:szCs w:val="20"/>
        </w:rPr>
        <w:t>annual General Mandate was</w:t>
      </w:r>
      <w:r w:rsidRPr="00367068">
        <w:rPr>
          <w:rFonts w:ascii="Arial" w:hAnsi="Arial" w:cs="Arial"/>
          <w:sz w:val="20"/>
          <w:szCs w:val="20"/>
        </w:rPr>
        <w:t xml:space="preserve"> approved by the </w:t>
      </w:r>
      <w:r w:rsidR="00A66F74">
        <w:rPr>
          <w:rFonts w:ascii="Arial" w:hAnsi="Arial" w:cs="Arial"/>
          <w:sz w:val="20"/>
          <w:szCs w:val="20"/>
        </w:rPr>
        <w:t xml:space="preserve">annual </w:t>
      </w:r>
      <w:r w:rsidRPr="00367068">
        <w:rPr>
          <w:rFonts w:ascii="Arial" w:hAnsi="Arial" w:cs="Arial"/>
          <w:sz w:val="20"/>
          <w:szCs w:val="20"/>
        </w:rPr>
        <w:t xml:space="preserve">General Meeting of Shareholders of </w:t>
      </w:r>
      <w:r w:rsidR="00A66F74" w:rsidRPr="00A66F74">
        <w:rPr>
          <w:rFonts w:ascii="Arial" w:hAnsi="Arial" w:cs="Arial"/>
          <w:sz w:val="20"/>
          <w:szCs w:val="20"/>
        </w:rPr>
        <w:t xml:space="preserve">Thai </w:t>
      </w:r>
      <w:proofErr w:type="spellStart"/>
      <w:r w:rsidR="00A66F74" w:rsidRPr="00A66F74">
        <w:rPr>
          <w:rFonts w:ascii="Arial" w:hAnsi="Arial" w:cs="Arial"/>
          <w:sz w:val="20"/>
          <w:szCs w:val="20"/>
        </w:rPr>
        <w:t>Trung</w:t>
      </w:r>
      <w:proofErr w:type="spellEnd"/>
      <w:r w:rsidR="00A66F74" w:rsidRPr="00A66F74">
        <w:rPr>
          <w:rFonts w:ascii="Arial" w:hAnsi="Arial" w:cs="Arial"/>
          <w:sz w:val="20"/>
          <w:szCs w:val="20"/>
        </w:rPr>
        <w:t xml:space="preserve"> steel joint stock company</w:t>
      </w:r>
      <w:r w:rsidR="00A66F74">
        <w:rPr>
          <w:rFonts w:ascii="Arial" w:hAnsi="Arial" w:cs="Arial"/>
          <w:sz w:val="20"/>
          <w:szCs w:val="20"/>
        </w:rPr>
        <w:t xml:space="preserve"> </w:t>
      </w:r>
      <w:r w:rsidRPr="00367068">
        <w:rPr>
          <w:rFonts w:ascii="Arial" w:hAnsi="Arial" w:cs="Arial"/>
          <w:sz w:val="20"/>
          <w:szCs w:val="20"/>
        </w:rPr>
        <w:t>and takes effect from May 25, 2020</w:t>
      </w:r>
      <w:r w:rsidR="00F22326">
        <w:rPr>
          <w:rFonts w:ascii="Arial" w:hAnsi="Arial" w:cs="Arial"/>
          <w:sz w:val="20"/>
          <w:szCs w:val="20"/>
        </w:rPr>
        <w:t>.</w:t>
      </w:r>
    </w:p>
    <w:sectPr w:rsidR="0097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14E8"/>
    <w:multiLevelType w:val="hybridMultilevel"/>
    <w:tmpl w:val="5AB442E0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0000"/>
    <w:multiLevelType w:val="hybridMultilevel"/>
    <w:tmpl w:val="5498AD5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3C34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47E"/>
    <w:rsid w:val="000E4CD5"/>
    <w:rsid w:val="000E518E"/>
    <w:rsid w:val="000E71F4"/>
    <w:rsid w:val="000F76F2"/>
    <w:rsid w:val="001110AA"/>
    <w:rsid w:val="001139DC"/>
    <w:rsid w:val="00114F74"/>
    <w:rsid w:val="001176E3"/>
    <w:rsid w:val="00124513"/>
    <w:rsid w:val="00132EC5"/>
    <w:rsid w:val="00132FA0"/>
    <w:rsid w:val="00135A2F"/>
    <w:rsid w:val="00136CAF"/>
    <w:rsid w:val="001409B7"/>
    <w:rsid w:val="00146DCF"/>
    <w:rsid w:val="0015075B"/>
    <w:rsid w:val="00151208"/>
    <w:rsid w:val="00155048"/>
    <w:rsid w:val="001579A8"/>
    <w:rsid w:val="00161658"/>
    <w:rsid w:val="0016411D"/>
    <w:rsid w:val="00167E2F"/>
    <w:rsid w:val="00172FBD"/>
    <w:rsid w:val="00185E8C"/>
    <w:rsid w:val="00191F14"/>
    <w:rsid w:val="001937B4"/>
    <w:rsid w:val="00194B6D"/>
    <w:rsid w:val="00196A16"/>
    <w:rsid w:val="001A3753"/>
    <w:rsid w:val="001C7CD2"/>
    <w:rsid w:val="001D5E4A"/>
    <w:rsid w:val="001E4047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574D9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0193"/>
    <w:rsid w:val="00304722"/>
    <w:rsid w:val="0030503E"/>
    <w:rsid w:val="0031274D"/>
    <w:rsid w:val="00320096"/>
    <w:rsid w:val="0032185B"/>
    <w:rsid w:val="00327CF7"/>
    <w:rsid w:val="00336481"/>
    <w:rsid w:val="0033774A"/>
    <w:rsid w:val="00341DE3"/>
    <w:rsid w:val="00342A89"/>
    <w:rsid w:val="00353428"/>
    <w:rsid w:val="00367068"/>
    <w:rsid w:val="00373A9D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1BA"/>
    <w:rsid w:val="003C4606"/>
    <w:rsid w:val="003D18D5"/>
    <w:rsid w:val="003E60D6"/>
    <w:rsid w:val="003E73CA"/>
    <w:rsid w:val="00403A9C"/>
    <w:rsid w:val="004115D9"/>
    <w:rsid w:val="00411E47"/>
    <w:rsid w:val="00414974"/>
    <w:rsid w:val="00416824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D292A"/>
    <w:rsid w:val="004E3058"/>
    <w:rsid w:val="004E4C16"/>
    <w:rsid w:val="00503DD6"/>
    <w:rsid w:val="00505065"/>
    <w:rsid w:val="0051776C"/>
    <w:rsid w:val="0052379D"/>
    <w:rsid w:val="005249A5"/>
    <w:rsid w:val="0055067A"/>
    <w:rsid w:val="00551A83"/>
    <w:rsid w:val="005610CB"/>
    <w:rsid w:val="005707AB"/>
    <w:rsid w:val="00573254"/>
    <w:rsid w:val="00576A91"/>
    <w:rsid w:val="00584222"/>
    <w:rsid w:val="0058434E"/>
    <w:rsid w:val="00585B82"/>
    <w:rsid w:val="005906FC"/>
    <w:rsid w:val="00591EB8"/>
    <w:rsid w:val="005970B6"/>
    <w:rsid w:val="005B1FDE"/>
    <w:rsid w:val="005B40E5"/>
    <w:rsid w:val="005C57E0"/>
    <w:rsid w:val="005C75F2"/>
    <w:rsid w:val="005D7F9C"/>
    <w:rsid w:val="005E411A"/>
    <w:rsid w:val="005E7B32"/>
    <w:rsid w:val="005F7ED5"/>
    <w:rsid w:val="006000D8"/>
    <w:rsid w:val="0061730E"/>
    <w:rsid w:val="006252F1"/>
    <w:rsid w:val="0063035E"/>
    <w:rsid w:val="0063581B"/>
    <w:rsid w:val="00635C2D"/>
    <w:rsid w:val="006374A1"/>
    <w:rsid w:val="00653D82"/>
    <w:rsid w:val="0065530D"/>
    <w:rsid w:val="00662AC3"/>
    <w:rsid w:val="00662E88"/>
    <w:rsid w:val="00664834"/>
    <w:rsid w:val="00665025"/>
    <w:rsid w:val="0067150D"/>
    <w:rsid w:val="006938BF"/>
    <w:rsid w:val="006948E2"/>
    <w:rsid w:val="00694B5D"/>
    <w:rsid w:val="00695ACD"/>
    <w:rsid w:val="006A02EA"/>
    <w:rsid w:val="006A7679"/>
    <w:rsid w:val="006B04E8"/>
    <w:rsid w:val="006B10DB"/>
    <w:rsid w:val="006B36E8"/>
    <w:rsid w:val="006C0338"/>
    <w:rsid w:val="006D01D8"/>
    <w:rsid w:val="006D1133"/>
    <w:rsid w:val="006D683C"/>
    <w:rsid w:val="006E15A6"/>
    <w:rsid w:val="006E23FD"/>
    <w:rsid w:val="006E5E99"/>
    <w:rsid w:val="006F4BFA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07C8"/>
    <w:rsid w:val="0077456B"/>
    <w:rsid w:val="00781EB4"/>
    <w:rsid w:val="00795480"/>
    <w:rsid w:val="007A072F"/>
    <w:rsid w:val="007A1FCC"/>
    <w:rsid w:val="007B07E7"/>
    <w:rsid w:val="007B3E94"/>
    <w:rsid w:val="007B4B88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671F"/>
    <w:rsid w:val="008230D5"/>
    <w:rsid w:val="00837771"/>
    <w:rsid w:val="0084142F"/>
    <w:rsid w:val="0084485C"/>
    <w:rsid w:val="008452A4"/>
    <w:rsid w:val="0084679A"/>
    <w:rsid w:val="00846A9E"/>
    <w:rsid w:val="008522D5"/>
    <w:rsid w:val="00853748"/>
    <w:rsid w:val="008544C2"/>
    <w:rsid w:val="008647D9"/>
    <w:rsid w:val="00876B7D"/>
    <w:rsid w:val="00882307"/>
    <w:rsid w:val="00884B9C"/>
    <w:rsid w:val="00887454"/>
    <w:rsid w:val="00894C57"/>
    <w:rsid w:val="008C0872"/>
    <w:rsid w:val="008C7A42"/>
    <w:rsid w:val="008F253B"/>
    <w:rsid w:val="00903416"/>
    <w:rsid w:val="00912FBD"/>
    <w:rsid w:val="00915807"/>
    <w:rsid w:val="009232CB"/>
    <w:rsid w:val="00923467"/>
    <w:rsid w:val="00934FC0"/>
    <w:rsid w:val="00937310"/>
    <w:rsid w:val="00937B8C"/>
    <w:rsid w:val="00937D79"/>
    <w:rsid w:val="009410B8"/>
    <w:rsid w:val="009464B8"/>
    <w:rsid w:val="00952EDC"/>
    <w:rsid w:val="00960F3A"/>
    <w:rsid w:val="00961750"/>
    <w:rsid w:val="00962777"/>
    <w:rsid w:val="00964DEC"/>
    <w:rsid w:val="00975F74"/>
    <w:rsid w:val="00980267"/>
    <w:rsid w:val="00981275"/>
    <w:rsid w:val="00981536"/>
    <w:rsid w:val="0099040A"/>
    <w:rsid w:val="009A6F47"/>
    <w:rsid w:val="009B2BF6"/>
    <w:rsid w:val="009C28F2"/>
    <w:rsid w:val="009E1744"/>
    <w:rsid w:val="009E4AC5"/>
    <w:rsid w:val="009F04B0"/>
    <w:rsid w:val="009F2709"/>
    <w:rsid w:val="00A02A11"/>
    <w:rsid w:val="00A050AA"/>
    <w:rsid w:val="00A06443"/>
    <w:rsid w:val="00A06521"/>
    <w:rsid w:val="00A128FC"/>
    <w:rsid w:val="00A23E8D"/>
    <w:rsid w:val="00A24462"/>
    <w:rsid w:val="00A33E9B"/>
    <w:rsid w:val="00A34999"/>
    <w:rsid w:val="00A4710B"/>
    <w:rsid w:val="00A47614"/>
    <w:rsid w:val="00A521A3"/>
    <w:rsid w:val="00A6117D"/>
    <w:rsid w:val="00A61FAF"/>
    <w:rsid w:val="00A63B6C"/>
    <w:rsid w:val="00A66F74"/>
    <w:rsid w:val="00A8299B"/>
    <w:rsid w:val="00A87ED0"/>
    <w:rsid w:val="00A92963"/>
    <w:rsid w:val="00A96404"/>
    <w:rsid w:val="00A97544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255E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A406D"/>
    <w:rsid w:val="00BB149F"/>
    <w:rsid w:val="00BB2980"/>
    <w:rsid w:val="00BD3CCA"/>
    <w:rsid w:val="00BD6969"/>
    <w:rsid w:val="00BE17E4"/>
    <w:rsid w:val="00BE3E97"/>
    <w:rsid w:val="00BF0485"/>
    <w:rsid w:val="00C220E2"/>
    <w:rsid w:val="00C2280B"/>
    <w:rsid w:val="00C25B3C"/>
    <w:rsid w:val="00C26F1A"/>
    <w:rsid w:val="00C32F3A"/>
    <w:rsid w:val="00C33F82"/>
    <w:rsid w:val="00C36031"/>
    <w:rsid w:val="00C40291"/>
    <w:rsid w:val="00C57CB9"/>
    <w:rsid w:val="00C61EAF"/>
    <w:rsid w:val="00C64328"/>
    <w:rsid w:val="00C67647"/>
    <w:rsid w:val="00C740FE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2CBD"/>
    <w:rsid w:val="00CF7CE6"/>
    <w:rsid w:val="00D02E12"/>
    <w:rsid w:val="00D322FB"/>
    <w:rsid w:val="00D370AF"/>
    <w:rsid w:val="00D415AC"/>
    <w:rsid w:val="00D42678"/>
    <w:rsid w:val="00D47CF5"/>
    <w:rsid w:val="00D52C26"/>
    <w:rsid w:val="00D55D74"/>
    <w:rsid w:val="00D570D1"/>
    <w:rsid w:val="00D61518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291E"/>
    <w:rsid w:val="00DA3531"/>
    <w:rsid w:val="00DA54D0"/>
    <w:rsid w:val="00DB2C71"/>
    <w:rsid w:val="00DB5EDC"/>
    <w:rsid w:val="00DC3408"/>
    <w:rsid w:val="00DD1205"/>
    <w:rsid w:val="00DD263A"/>
    <w:rsid w:val="00DE169F"/>
    <w:rsid w:val="00DE5C3C"/>
    <w:rsid w:val="00DF3B6A"/>
    <w:rsid w:val="00DF4180"/>
    <w:rsid w:val="00DF53F3"/>
    <w:rsid w:val="00DF739B"/>
    <w:rsid w:val="00E0619F"/>
    <w:rsid w:val="00E130EE"/>
    <w:rsid w:val="00E13C77"/>
    <w:rsid w:val="00E17016"/>
    <w:rsid w:val="00E20A0F"/>
    <w:rsid w:val="00E220BC"/>
    <w:rsid w:val="00E24F0A"/>
    <w:rsid w:val="00E27923"/>
    <w:rsid w:val="00E47928"/>
    <w:rsid w:val="00E47B26"/>
    <w:rsid w:val="00E51F4E"/>
    <w:rsid w:val="00E53A5C"/>
    <w:rsid w:val="00E5565D"/>
    <w:rsid w:val="00E60303"/>
    <w:rsid w:val="00E65132"/>
    <w:rsid w:val="00E7691C"/>
    <w:rsid w:val="00E81EC6"/>
    <w:rsid w:val="00E83C2B"/>
    <w:rsid w:val="00E96289"/>
    <w:rsid w:val="00E96D65"/>
    <w:rsid w:val="00EA1D75"/>
    <w:rsid w:val="00EA4C28"/>
    <w:rsid w:val="00EC37DE"/>
    <w:rsid w:val="00ED3B40"/>
    <w:rsid w:val="00ED6D41"/>
    <w:rsid w:val="00EF091F"/>
    <w:rsid w:val="00EF47D6"/>
    <w:rsid w:val="00F22326"/>
    <w:rsid w:val="00F272CE"/>
    <w:rsid w:val="00F320D6"/>
    <w:rsid w:val="00F33967"/>
    <w:rsid w:val="00F360CB"/>
    <w:rsid w:val="00F45500"/>
    <w:rsid w:val="00F46D76"/>
    <w:rsid w:val="00F509DE"/>
    <w:rsid w:val="00F514ED"/>
    <w:rsid w:val="00F72000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13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26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298</cp:revision>
  <dcterms:created xsi:type="dcterms:W3CDTF">2019-10-16T10:03:00Z</dcterms:created>
  <dcterms:modified xsi:type="dcterms:W3CDTF">2020-05-28T08:22:00Z</dcterms:modified>
</cp:coreProperties>
</file>